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75" w:lineRule="exact" w:before="74"/>
        <w:ind w:right="321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899464</wp:posOffset>
                </wp:positionH>
                <wp:positionV relativeFrom="page">
                  <wp:posOffset>8122284</wp:posOffset>
                </wp:positionV>
                <wp:extent cx="1830070" cy="63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689" y="6095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823997pt;margin-top:639.549988pt;width:144.07pt;height:.47998pt;mso-position-horizontal-relative:page;mso-position-vertical-relative:page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I.2.</w:t>
      </w:r>
      <w:r>
        <w:rPr>
          <w:spacing w:val="-8"/>
        </w:rPr>
        <w:t> </w:t>
      </w:r>
      <w:r>
        <w:rPr/>
        <w:t>Ismeretkörök/tantárgyi</w:t>
      </w:r>
      <w:r>
        <w:rPr>
          <w:spacing w:val="-7"/>
        </w:rPr>
        <w:t> </w:t>
      </w:r>
      <w:r>
        <w:rPr/>
        <w:t>programok,</w:t>
      </w:r>
      <w:r>
        <w:rPr>
          <w:spacing w:val="-5"/>
        </w:rPr>
        <w:t> </w:t>
      </w:r>
      <w:r>
        <w:rPr>
          <w:spacing w:val="-2"/>
        </w:rPr>
        <w:t>tantárgyleírások</w:t>
      </w:r>
    </w:p>
    <w:p>
      <w:pPr>
        <w:spacing w:line="252" w:lineRule="exact" w:before="0"/>
        <w:ind w:left="65" w:right="3210" w:firstLine="0"/>
        <w:jc w:val="center"/>
        <w:rPr>
          <w:i/>
          <w:sz w:val="22"/>
        </w:rPr>
      </w:pPr>
      <w:r>
        <w:rPr>
          <w:i/>
          <w:sz w:val="22"/>
        </w:rPr>
        <w:t>(a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tantervi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táblázatban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szereplő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minden</w:t>
      </w:r>
      <w:r>
        <w:rPr>
          <w:i/>
          <w:spacing w:val="-2"/>
          <w:sz w:val="22"/>
        </w:rPr>
        <w:t> tanegységről)</w:t>
      </w:r>
    </w:p>
    <w:p>
      <w:pPr>
        <w:spacing w:line="240" w:lineRule="auto" w:before="0" w:after="1"/>
        <w:rPr>
          <w:i/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9"/>
        <w:gridCol w:w="2233"/>
      </w:tblGrid>
      <w:tr>
        <w:trPr>
          <w:trHeight w:val="427" w:hRule="atLeast"/>
        </w:trPr>
        <w:tc>
          <w:tcPr>
            <w:tcW w:w="6809" w:type="dxa"/>
          </w:tcPr>
          <w:p>
            <w:pPr>
              <w:pStyle w:val="TableParagraph"/>
              <w:spacing w:before="49"/>
              <w:rPr>
                <w:b/>
                <w:sz w:val="22"/>
              </w:rPr>
            </w:pPr>
            <w:r>
              <w:rPr>
                <w:b/>
                <w:sz w:val="22"/>
              </w:rPr>
              <w:t>(1.)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Tantárgy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neve:</w:t>
            </w:r>
            <w:r>
              <w:rPr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Személyek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és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társas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viszonyok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lélektana</w:t>
            </w:r>
          </w:p>
        </w:tc>
        <w:tc>
          <w:tcPr>
            <w:tcW w:w="2233" w:type="dxa"/>
          </w:tcPr>
          <w:p>
            <w:pPr>
              <w:pStyle w:val="TableParagraph"/>
              <w:spacing w:before="116"/>
              <w:rPr>
                <w:b/>
                <w:sz w:val="22"/>
              </w:rPr>
            </w:pPr>
            <w:r>
              <w:rPr>
                <w:b/>
                <w:sz w:val="22"/>
              </w:rPr>
              <w:t>Kreditértéke: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</w:tr>
      <w:tr>
        <w:trPr>
          <w:trHeight w:val="426" w:hRule="atLeast"/>
        </w:trPr>
        <w:tc>
          <w:tcPr>
            <w:tcW w:w="9042" w:type="dxa"/>
            <w:gridSpan w:val="2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tantárgy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besorolása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kötelező</w:t>
            </w:r>
          </w:p>
        </w:tc>
      </w:tr>
      <w:tr>
        <w:trPr>
          <w:trHeight w:val="705" w:hRule="atLeast"/>
        </w:trPr>
        <w:tc>
          <w:tcPr>
            <w:tcW w:w="9042" w:type="dxa"/>
            <w:gridSpan w:val="2"/>
          </w:tcPr>
          <w:p>
            <w:pPr>
              <w:pStyle w:val="TableParagraph"/>
              <w:spacing w:before="97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31008">
                      <wp:simplePos x="0" y="0"/>
                      <wp:positionH relativeFrom="column">
                        <wp:posOffset>5013020</wp:posOffset>
                      </wp:positionH>
                      <wp:positionV relativeFrom="paragraph">
                        <wp:posOffset>60954</wp:posOffset>
                      </wp:positionV>
                      <wp:extent cx="97790" cy="16510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97790" cy="165100"/>
                                <a:chExt cx="97790" cy="1651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9779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790" h="161925">
                                      <a:moveTo>
                                        <a:pt x="3048" y="0"/>
                                      </a:moveTo>
                                      <a:lnTo>
                                        <a:pt x="3048" y="6096"/>
                                      </a:lnTo>
                                    </a:path>
                                    <a:path w="97790" h="161925">
                                      <a:moveTo>
                                        <a:pt x="3048" y="0"/>
                                      </a:moveTo>
                                      <a:lnTo>
                                        <a:pt x="3048" y="6096"/>
                                      </a:lnTo>
                                    </a:path>
                                    <a:path w="97790" h="161925">
                                      <a:moveTo>
                                        <a:pt x="6096" y="3048"/>
                                      </a:moveTo>
                                      <a:lnTo>
                                        <a:pt x="91439" y="3048"/>
                                      </a:lnTo>
                                    </a:path>
                                    <a:path w="97790" h="161925">
                                      <a:moveTo>
                                        <a:pt x="94487" y="0"/>
                                      </a:moveTo>
                                      <a:lnTo>
                                        <a:pt x="94487" y="6096"/>
                                      </a:lnTo>
                                    </a:path>
                                    <a:path w="97790" h="161925">
                                      <a:moveTo>
                                        <a:pt x="94487" y="0"/>
                                      </a:moveTo>
                                      <a:lnTo>
                                        <a:pt x="94487" y="6096"/>
                                      </a:lnTo>
                                    </a:path>
                                    <a:path w="97790" h="161925">
                                      <a:moveTo>
                                        <a:pt x="3048" y="6096"/>
                                      </a:moveTo>
                                      <a:lnTo>
                                        <a:pt x="3048" y="158496"/>
                                      </a:lnTo>
                                    </a:path>
                                    <a:path w="97790" h="161925">
                                      <a:moveTo>
                                        <a:pt x="94487" y="6096"/>
                                      </a:moveTo>
                                      <a:lnTo>
                                        <a:pt x="94487" y="158496"/>
                                      </a:lnTo>
                                    </a:path>
                                    <a:path w="97790" h="161925">
                                      <a:moveTo>
                                        <a:pt x="0" y="161544"/>
                                      </a:moveTo>
                                      <a:lnTo>
                                        <a:pt x="6096" y="161544"/>
                                      </a:lnTo>
                                    </a:path>
                                    <a:path w="97790" h="161925">
                                      <a:moveTo>
                                        <a:pt x="0" y="161544"/>
                                      </a:moveTo>
                                      <a:lnTo>
                                        <a:pt x="6096" y="161544"/>
                                      </a:lnTo>
                                    </a:path>
                                    <a:path w="97790" h="161925">
                                      <a:moveTo>
                                        <a:pt x="6096" y="161544"/>
                                      </a:moveTo>
                                      <a:lnTo>
                                        <a:pt x="91439" y="161544"/>
                                      </a:lnTo>
                                    </a:path>
                                    <a:path w="97790" h="161925">
                                      <a:moveTo>
                                        <a:pt x="91439" y="161544"/>
                                      </a:moveTo>
                                      <a:lnTo>
                                        <a:pt x="97536" y="161544"/>
                                      </a:lnTo>
                                    </a:path>
                                    <a:path w="97790" h="161925">
                                      <a:moveTo>
                                        <a:pt x="91439" y="161544"/>
                                      </a:moveTo>
                                      <a:lnTo>
                                        <a:pt x="97536" y="161544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94.726013pt;margin-top:4.799529pt;width:7.7pt;height:13pt;mso-position-horizontal-relative:column;mso-position-vertical-relative:paragraph;z-index:-15785472" id="docshapegroup2" coordorigin="7895,96" coordsize="154,260">
                      <v:shape style="position:absolute;left:7894;top:96;width:154;height:255" id="docshape3" coordorigin="7895,96" coordsize="154,255" path="m7899,96l7899,106m7899,96l7899,106m7904,101l8039,101m8043,96l8043,106m8043,96l8043,106m7899,106l7899,346m8043,106l8043,346m7895,350l7904,350m7895,350l7904,350m7904,350l8039,350m8039,350l8048,350m8039,350l8048,350e" filled="false" stroked="true" strokeweight=".48pt" strokecolor="#000000">
                        <v:path arrowok="t"/>
                        <v:stroke dashstyle="shortdot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77"/>
                <w:sz w:val="22"/>
              </w:rPr>
              <w:t> </w:t>
            </w:r>
            <w:r>
              <w:rPr>
                <w:b/>
                <w:sz w:val="22"/>
              </w:rPr>
              <w:t>tantárgy</w:t>
            </w:r>
            <w:r>
              <w:rPr>
                <w:b/>
                <w:spacing w:val="78"/>
                <w:sz w:val="22"/>
              </w:rPr>
              <w:t> </w:t>
            </w:r>
            <w:r>
              <w:rPr>
                <w:b/>
                <w:sz w:val="22"/>
              </w:rPr>
              <w:t>elméleti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z w:val="22"/>
              </w:rPr>
              <w:t>vagy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gyakorlati</w:t>
            </w:r>
            <w:r>
              <w:rPr>
                <w:b/>
                <w:spacing w:val="74"/>
                <w:sz w:val="22"/>
              </w:rPr>
              <w:t> </w:t>
            </w:r>
            <w:r>
              <w:rPr>
                <w:b/>
                <w:sz w:val="22"/>
              </w:rPr>
              <w:t>jellegének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z w:val="22"/>
              </w:rPr>
              <w:t>mértéke,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„képzési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z w:val="22"/>
              </w:rPr>
              <w:t>karaktere”</w:t>
            </w:r>
            <w:r>
              <w:rPr>
                <w:b/>
                <w:sz w:val="22"/>
                <w:vertAlign w:val="superscript"/>
              </w:rPr>
              <w:t>12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7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70:30% </w:t>
            </w:r>
            <w:r>
              <w:rPr>
                <w:spacing w:val="-2"/>
                <w:sz w:val="22"/>
                <w:vertAlign w:val="baseline"/>
              </w:rPr>
              <w:t>(kredit%)</w:t>
            </w:r>
          </w:p>
        </w:tc>
      </w:tr>
      <w:tr>
        <w:trPr>
          <w:trHeight w:val="1305" w:hRule="atLeast"/>
        </w:trPr>
        <w:tc>
          <w:tcPr>
            <w:tcW w:w="9042" w:type="dxa"/>
            <w:gridSpan w:val="2"/>
          </w:tcPr>
          <w:p>
            <w:pPr>
              <w:pStyle w:val="TableParagraph"/>
              <w:tabs>
                <w:tab w:pos="6837" w:val="left" w:leader="dot"/>
              </w:tabs>
              <w:spacing w:line="295" w:lineRule="auto" w:before="111"/>
              <w:ind w:right="1742"/>
              <w:rPr>
                <w:i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tanóra</w:t>
            </w:r>
            <w:r>
              <w:rPr>
                <w:b/>
                <w:sz w:val="22"/>
                <w:vertAlign w:val="superscript"/>
              </w:rPr>
              <w:t>5</w:t>
            </w:r>
            <w:r>
              <w:rPr>
                <w:b/>
                <w:sz w:val="22"/>
                <w:vertAlign w:val="baseline"/>
              </w:rPr>
              <w:t> típusa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color w:val="000000"/>
                <w:sz w:val="22"/>
                <w:highlight w:val="yellow"/>
                <w:vertAlign w:val="baseline"/>
              </w:rPr>
              <w:t>ea.</w:t>
            </w:r>
            <w:r>
              <w:rPr>
                <w:color w:val="000000"/>
                <w:spacing w:val="-1"/>
                <w:sz w:val="22"/>
                <w:highlight w:val="yellow"/>
                <w:vertAlign w:val="baseline"/>
              </w:rPr>
              <w:t> </w:t>
            </w:r>
            <w:r>
              <w:rPr>
                <w:color w:val="000000"/>
                <w:sz w:val="22"/>
                <w:highlight w:val="yellow"/>
                <w:vertAlign w:val="baseline"/>
              </w:rPr>
              <w:t>/</w:t>
            </w:r>
            <w:r>
              <w:rPr>
                <w:color w:val="000000"/>
                <w:spacing w:val="-7"/>
                <w:sz w:val="22"/>
                <w:highlight w:val="yellow"/>
                <w:vertAlign w:val="baseline"/>
              </w:rPr>
              <w:t> </w:t>
            </w:r>
            <w:r>
              <w:rPr>
                <w:color w:val="000000"/>
                <w:sz w:val="22"/>
                <w:highlight w:val="yellow"/>
                <w:vertAlign w:val="baseline"/>
              </w:rPr>
              <w:t>szem.</w:t>
            </w:r>
            <w:r>
              <w:rPr>
                <w:color w:val="000000"/>
                <w:spacing w:val="-1"/>
                <w:sz w:val="22"/>
                <w:highlight w:val="yellow"/>
                <w:vertAlign w:val="baseline"/>
              </w:rPr>
              <w:t> </w:t>
            </w:r>
            <w:r>
              <w:rPr>
                <w:color w:val="000000"/>
                <w:sz w:val="22"/>
                <w:highlight w:val="yellow"/>
                <w:vertAlign w:val="baseline"/>
              </w:rPr>
              <w:t>/</w:t>
            </w:r>
            <w:r>
              <w:rPr>
                <w:color w:val="000000"/>
                <w:spacing w:val="-2"/>
                <w:sz w:val="22"/>
                <w:highlight w:val="yellow"/>
                <w:vertAlign w:val="baseline"/>
              </w:rPr>
              <w:t> </w:t>
            </w:r>
            <w:r>
              <w:rPr>
                <w:color w:val="000000"/>
                <w:sz w:val="22"/>
                <w:highlight w:val="yellow"/>
                <w:vertAlign w:val="baseline"/>
              </w:rPr>
              <w:t>gyak.</w:t>
            </w:r>
            <w:r>
              <w:rPr>
                <w:color w:val="000000"/>
                <w:spacing w:val="-1"/>
                <w:sz w:val="22"/>
                <w:highlight w:val="yellow"/>
                <w:vertAlign w:val="baseline"/>
              </w:rPr>
              <w:t> </w:t>
            </w:r>
            <w:r>
              <w:rPr>
                <w:color w:val="000000"/>
                <w:sz w:val="22"/>
                <w:highlight w:val="yellow"/>
                <w:vertAlign w:val="baseline"/>
              </w:rPr>
              <w:t>/</w:t>
            </w:r>
            <w:r>
              <w:rPr>
                <w:color w:val="000000"/>
                <w:spacing w:val="-2"/>
                <w:sz w:val="22"/>
                <w:highlight w:val="yellow"/>
                <w:vertAlign w:val="baseline"/>
              </w:rPr>
              <w:t> </w:t>
            </w:r>
            <w:r>
              <w:rPr>
                <w:color w:val="000000"/>
                <w:sz w:val="22"/>
                <w:highlight w:val="yellow"/>
                <w:vertAlign w:val="baseline"/>
              </w:rPr>
              <w:t>konz.</w:t>
            </w:r>
            <w:r>
              <w:rPr>
                <w:color w:val="000000"/>
                <w:sz w:val="22"/>
                <w:vertAlign w:val="baseline"/>
              </w:rPr>
              <w:t> és</w:t>
            </w:r>
            <w:r>
              <w:rPr>
                <w:color w:val="000000"/>
                <w:spacing w:val="-2"/>
                <w:sz w:val="22"/>
                <w:vertAlign w:val="baseline"/>
              </w:rPr>
              <w:t> </w:t>
            </w:r>
            <w:r>
              <w:rPr>
                <w:b/>
                <w:color w:val="000000"/>
                <w:sz w:val="22"/>
                <w:vertAlign w:val="baseline"/>
              </w:rPr>
              <w:t>óraszáma</w:t>
            </w:r>
            <w:r>
              <w:rPr>
                <w:color w:val="000000"/>
                <w:sz w:val="22"/>
                <w:vertAlign w:val="baseline"/>
              </w:rPr>
              <w:t>:</w:t>
            </w:r>
            <w:r>
              <w:rPr>
                <w:color w:val="000000"/>
                <w:spacing w:val="-7"/>
                <w:sz w:val="22"/>
                <w:vertAlign w:val="baseline"/>
              </w:rPr>
              <w:t> </w:t>
            </w:r>
            <w:r>
              <w:rPr>
                <w:b/>
                <w:color w:val="000000"/>
                <w:sz w:val="22"/>
                <w:vertAlign w:val="baseline"/>
              </w:rPr>
              <w:t>2+1</w:t>
            </w:r>
            <w:r>
              <w:rPr>
                <w:b/>
                <w:color w:val="000000"/>
                <w:spacing w:val="-3"/>
                <w:sz w:val="22"/>
                <w:vertAlign w:val="baseline"/>
              </w:rPr>
              <w:t> </w:t>
            </w:r>
            <w:r>
              <w:rPr>
                <w:color w:val="000000"/>
                <w:sz w:val="22"/>
                <w:vertAlign w:val="baseline"/>
              </w:rPr>
              <w:t>az</w:t>
            </w:r>
            <w:r>
              <w:rPr>
                <w:color w:val="000000"/>
                <w:spacing w:val="-10"/>
                <w:sz w:val="22"/>
                <w:vertAlign w:val="baseline"/>
              </w:rPr>
              <w:t> </w:t>
            </w:r>
            <w:r>
              <w:rPr>
                <w:color w:val="000000"/>
                <w:sz w:val="22"/>
                <w:vertAlign w:val="baseline"/>
              </w:rPr>
              <w:t>adott</w:t>
            </w:r>
            <w:r>
              <w:rPr>
                <w:color w:val="000000"/>
                <w:spacing w:val="-1"/>
                <w:sz w:val="22"/>
                <w:vertAlign w:val="baseline"/>
              </w:rPr>
              <w:t> </w:t>
            </w:r>
            <w:r>
              <w:rPr>
                <w:b/>
                <w:color w:val="000000"/>
                <w:sz w:val="22"/>
                <w:vertAlign w:val="baseline"/>
              </w:rPr>
              <w:t>félévben</w:t>
            </w:r>
            <w:r>
              <w:rPr>
                <w:color w:val="000000"/>
                <w:sz w:val="22"/>
                <w:vertAlign w:val="baseline"/>
              </w:rPr>
              <w:t>, (</w:t>
            </w:r>
            <w:r>
              <w:rPr>
                <w:i/>
                <w:color w:val="000000"/>
                <w:sz w:val="22"/>
                <w:vertAlign w:val="baseline"/>
              </w:rPr>
              <w:t>ha nem (csak) magyarul oktatják a tárgyat, akkor a </w:t>
            </w:r>
            <w:r>
              <w:rPr>
                <w:b/>
                <w:i/>
                <w:color w:val="000000"/>
                <w:sz w:val="22"/>
                <w:vertAlign w:val="baseline"/>
              </w:rPr>
              <w:t>nyelve</w:t>
              <w:tab/>
            </w:r>
            <w:r>
              <w:rPr>
                <w:i/>
                <w:color w:val="000000"/>
                <w:spacing w:val="-10"/>
                <w:sz w:val="22"/>
                <w:vertAlign w:val="baseline"/>
              </w:rPr>
              <w:t>)</w:t>
            </w:r>
          </w:p>
          <w:p>
            <w:pPr>
              <w:pStyle w:val="TableParagraph"/>
              <w:spacing w:line="251" w:lineRule="exact" w:before="2"/>
              <w:rPr>
                <w:sz w:val="22"/>
              </w:rPr>
            </w:pPr>
            <w:r>
              <w:rPr>
                <w:sz w:val="22"/>
              </w:rPr>
              <w:t>Az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adott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ismeret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átadásában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alkalmazandó</w:t>
            </w:r>
            <w:r>
              <w:rPr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további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sajátos</w:t>
            </w:r>
            <w:r>
              <w:rPr>
                <w:sz w:val="22"/>
              </w:rPr>
              <w:t>)</w:t>
            </w:r>
            <w:r>
              <w:rPr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módok,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jellemzők</w:t>
            </w:r>
            <w:r>
              <w:rPr>
                <w:b/>
                <w:sz w:val="22"/>
                <w:vertAlign w:val="superscript"/>
              </w:rPr>
              <w:t>6</w:t>
            </w:r>
            <w:r>
              <w:rPr>
                <w:b/>
                <w:spacing w:val="52"/>
                <w:sz w:val="22"/>
                <w:vertAlign w:val="baseline"/>
              </w:rPr>
              <w:t> </w:t>
            </w:r>
            <w:r>
              <w:rPr>
                <w:i/>
                <w:sz w:val="21"/>
                <w:vertAlign w:val="baseline"/>
              </w:rPr>
              <w:t>(ha</w:t>
            </w:r>
            <w:r>
              <w:rPr>
                <w:i/>
                <w:spacing w:val="52"/>
                <w:sz w:val="21"/>
                <w:vertAlign w:val="baseline"/>
              </w:rPr>
              <w:t> </w:t>
            </w:r>
            <w:r>
              <w:rPr>
                <w:i/>
                <w:spacing w:val="-2"/>
                <w:sz w:val="21"/>
                <w:vertAlign w:val="baseline"/>
              </w:rPr>
              <w:t>vannak)</w:t>
            </w:r>
            <w:r>
              <w:rPr>
                <w:spacing w:val="-2"/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000000"/>
                <w:spacing w:val="-2"/>
                <w:sz w:val="22"/>
                <w:highlight w:val="yellow"/>
              </w:rPr>
              <w:t>………………………..</w:t>
            </w:r>
          </w:p>
        </w:tc>
      </w:tr>
      <w:tr>
        <w:trPr>
          <w:trHeight w:val="739" w:hRule="atLeast"/>
        </w:trPr>
        <w:tc>
          <w:tcPr>
            <w:tcW w:w="9042" w:type="dxa"/>
            <w:gridSpan w:val="2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számonkérés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módja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(koll.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gyj.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</w:t>
            </w:r>
            <w:r>
              <w:rPr>
                <w:b/>
                <w:sz w:val="22"/>
              </w:rPr>
              <w:t>egyéb</w:t>
            </w:r>
            <w:r>
              <w:rPr>
                <w:b/>
                <w:sz w:val="22"/>
                <w:vertAlign w:val="superscript"/>
              </w:rPr>
              <w:t>7</w:t>
            </w:r>
            <w:r>
              <w:rPr>
                <w:b/>
                <w:sz w:val="22"/>
                <w:vertAlign w:val="baseline"/>
              </w:rPr>
              <w:t>)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45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koll.</w:t>
            </w:r>
          </w:p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ismeretellenőrzésben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alkalmazandó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további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sajátos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módok</w:t>
            </w:r>
            <w:r>
              <w:rPr>
                <w:b/>
                <w:sz w:val="22"/>
                <w:vertAlign w:val="superscript"/>
              </w:rPr>
              <w:t>8</w:t>
            </w:r>
            <w:r>
              <w:rPr>
                <w:b/>
                <w:spacing w:val="-2"/>
                <w:sz w:val="22"/>
                <w:vertAlign w:val="baseline"/>
              </w:rPr>
              <w:t> </w:t>
            </w:r>
            <w:r>
              <w:rPr>
                <w:i/>
                <w:sz w:val="21"/>
                <w:vertAlign w:val="baseline"/>
              </w:rPr>
              <w:t>(ha</w:t>
            </w:r>
            <w:r>
              <w:rPr>
                <w:i/>
                <w:spacing w:val="-6"/>
                <w:sz w:val="21"/>
                <w:vertAlign w:val="baseline"/>
              </w:rPr>
              <w:t> </w:t>
            </w:r>
            <w:r>
              <w:rPr>
                <w:i/>
                <w:sz w:val="21"/>
                <w:vertAlign w:val="baseline"/>
              </w:rPr>
              <w:t>vannak)</w:t>
            </w:r>
            <w:r>
              <w:rPr>
                <w:b/>
                <w:sz w:val="22"/>
                <w:vertAlign w:val="baseline"/>
              </w:rPr>
              <w:t>:</w:t>
            </w:r>
            <w:r>
              <w:rPr>
                <w:b/>
                <w:spacing w:val="-6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témakidolgozások</w:t>
            </w:r>
          </w:p>
        </w:tc>
      </w:tr>
      <w:tr>
        <w:trPr>
          <w:trHeight w:val="369" w:hRule="atLeast"/>
        </w:trPr>
        <w:tc>
          <w:tcPr>
            <w:tcW w:w="9042" w:type="dxa"/>
            <w:gridSpan w:val="2"/>
          </w:tcPr>
          <w:p>
            <w:pPr>
              <w:pStyle w:val="TableParagraph"/>
              <w:spacing w:before="49"/>
              <w:rPr>
                <w:b/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tantárgy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tantervi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helye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(hányadik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félév):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3.</w:t>
            </w:r>
          </w:p>
        </w:tc>
      </w:tr>
      <w:tr>
        <w:trPr>
          <w:trHeight w:val="371" w:hRule="atLeast"/>
        </w:trPr>
        <w:tc>
          <w:tcPr>
            <w:tcW w:w="9042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Előtanulmányi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feltételek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(ha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vannak)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nincs</w:t>
            </w:r>
          </w:p>
        </w:tc>
      </w:tr>
      <w:tr>
        <w:trPr>
          <w:trHeight w:val="433" w:hRule="atLeast"/>
        </w:trPr>
        <w:tc>
          <w:tcPr>
            <w:tcW w:w="9042" w:type="dxa"/>
            <w:gridSpan w:val="2"/>
            <w:tcBorders>
              <w:top w:val="doub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18"/>
              <w:rPr>
                <w:b/>
                <w:sz w:val="22"/>
              </w:rPr>
            </w:pPr>
            <w:r>
              <w:rPr>
                <w:b/>
                <w:sz w:val="22"/>
              </w:rPr>
              <w:t>Tantárgy-leírás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elsajátítandó</w:t>
            </w:r>
            <w:r>
              <w:rPr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ismeretanyag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tömör,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ugyanakkor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informáló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leírása</w:t>
            </w:r>
          </w:p>
        </w:tc>
      </w:tr>
      <w:tr>
        <w:trPr>
          <w:trHeight w:val="873" w:hRule="atLeast"/>
        </w:trPr>
        <w:tc>
          <w:tcPr>
            <w:tcW w:w="9042" w:type="dxa"/>
            <w:gridSpan w:val="2"/>
            <w:tcBorders>
              <w:top w:val="dotted" w:sz="4" w:space="0" w:color="000000"/>
            </w:tcBorders>
            <w:shd w:val="clear" w:color="auto" w:fill="FFF1CC"/>
          </w:tcPr>
          <w:p>
            <w:pPr>
              <w:pStyle w:val="TableParagraph"/>
              <w:spacing w:before="49"/>
              <w:ind w:left="139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személyiség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fogalma,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személyiségelméleti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problémák.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pszichoanalízis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személyiségelmélete. Humanisztikus személyiségelméletek. A szociális megismerés. A társas interakciók. A csoport- lélektan alapjai.</w:t>
            </w:r>
          </w:p>
        </w:tc>
      </w:tr>
      <w:tr>
        <w:trPr>
          <w:trHeight w:val="618" w:hRule="atLeast"/>
        </w:trPr>
        <w:tc>
          <w:tcPr>
            <w:tcW w:w="9042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2-5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legfontosabb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kötelező,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sz w:val="22"/>
              </w:rPr>
              <w:t>illetve</w:t>
            </w:r>
            <w:r>
              <w:rPr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ajánlott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irodalom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sz w:val="22"/>
              </w:rPr>
              <w:t>(jegyzet,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tankönyv)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felsorolása bibliográfiai adatokkal (szerző, cím, kiadás adatai, (esetleg oldalak), ISBN)</w:t>
            </w:r>
          </w:p>
        </w:tc>
      </w:tr>
      <w:tr>
        <w:trPr>
          <w:trHeight w:val="1886" w:hRule="atLeast"/>
        </w:trPr>
        <w:tc>
          <w:tcPr>
            <w:tcW w:w="9042" w:type="dxa"/>
            <w:gridSpan w:val="2"/>
            <w:tcBorders>
              <w:top w:val="dotted" w:sz="4" w:space="0" w:color="000000"/>
            </w:tcBorders>
            <w:shd w:val="clear" w:color="auto" w:fill="FFF1CC"/>
          </w:tcPr>
          <w:p>
            <w:pPr>
              <w:pStyle w:val="TableParagraph"/>
              <w:spacing w:before="49"/>
              <w:ind w:left="139"/>
              <w:rPr>
                <w:sz w:val="22"/>
              </w:rPr>
            </w:pPr>
            <w:r>
              <w:rPr>
                <w:sz w:val="22"/>
              </w:rPr>
              <w:t>Carver,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Scheier,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Michael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F.: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Személyiségpszichológia,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Osiris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Kiadó,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2006.</w:t>
            </w:r>
          </w:p>
          <w:p>
            <w:pPr>
              <w:pStyle w:val="TableParagraph"/>
              <w:spacing w:before="1"/>
              <w:ind w:left="365"/>
              <w:rPr>
                <w:sz w:val="22"/>
              </w:rPr>
            </w:pPr>
            <w:r>
              <w:rPr>
                <w:sz w:val="22"/>
              </w:rPr>
              <w:t>ISBN: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9789633897096</w:t>
            </w:r>
          </w:p>
          <w:p>
            <w:pPr>
              <w:pStyle w:val="TableParagraph"/>
              <w:spacing w:line="237" w:lineRule="auto" w:before="4"/>
              <w:ind w:left="139" w:right="552"/>
              <w:rPr>
                <w:sz w:val="22"/>
              </w:rPr>
            </w:pPr>
            <w:r>
              <w:rPr>
                <w:sz w:val="22"/>
              </w:rPr>
              <w:t>Aronson,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E.: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társas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lény,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Akadémiai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Kiadó,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Budapest,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2011.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ISBN: 9789630586283) Forgács József: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társas érintkezés pszichológiája, Kairosz, 2007. ISBN: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9639137715)</w:t>
            </w: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Csepeli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György: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Szociálpszichológia mindenkiben,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Kossuth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Kiadó,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ISBN: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9789630976169 Bálint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Bánk: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elfogadás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körei,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Wesprimiensia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VHF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folyóirata,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XVII.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évf.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2016.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I-</w:t>
            </w:r>
            <w:r>
              <w:rPr>
                <w:spacing w:val="-5"/>
                <w:sz w:val="22"/>
              </w:rPr>
              <w:t>II.</w:t>
            </w:r>
          </w:p>
          <w:p>
            <w:pPr>
              <w:pStyle w:val="TableParagraph"/>
              <w:spacing w:before="3"/>
              <w:ind w:left="365"/>
              <w:rPr>
                <w:sz w:val="22"/>
              </w:rPr>
            </w:pPr>
            <w:r>
              <w:rPr>
                <w:sz w:val="22"/>
              </w:rPr>
              <w:t>szám,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115-120.</w:t>
            </w:r>
            <w:r>
              <w:rPr>
                <w:spacing w:val="-4"/>
                <w:sz w:val="22"/>
              </w:rPr>
              <w:t> oldal</w:t>
            </w:r>
          </w:p>
        </w:tc>
      </w:tr>
      <w:tr>
        <w:trPr>
          <w:trHeight w:val="619" w:hRule="atLeast"/>
        </w:trPr>
        <w:tc>
          <w:tcPr>
            <w:tcW w:w="9042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sz w:val="22"/>
              </w:rPr>
              <w:t>Azoknak az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előírt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b/>
                <w:sz w:val="22"/>
              </w:rPr>
              <w:t>zakmai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kompetenciáknak,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kompetencia-elemeknek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i/>
                <w:sz w:val="20"/>
              </w:rPr>
              <w:t>(tudás,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képesség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sz w:val="20"/>
              </w:rPr>
              <w:t>stb.,</w:t>
            </w:r>
            <w:r>
              <w:rPr>
                <w:spacing w:val="4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KKK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pont</w:t>
            </w:r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felsorolása,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amelyek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kialakításához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tantárgy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jellemzően,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érdemben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hozzájárul</w:t>
            </w:r>
          </w:p>
        </w:tc>
      </w:tr>
      <w:tr>
        <w:trPr>
          <w:trHeight w:val="1358" w:hRule="atLeast"/>
        </w:trPr>
        <w:tc>
          <w:tcPr>
            <w:tcW w:w="9042" w:type="dxa"/>
            <w:gridSpan w:val="2"/>
            <w:tcBorders>
              <w:top w:val="dotted" w:sz="4" w:space="0" w:color="000000"/>
            </w:tcBorders>
            <w:shd w:val="clear" w:color="auto" w:fill="FFF1CC"/>
          </w:tcPr>
          <w:p>
            <w:pPr>
              <w:pStyle w:val="TableParagraph"/>
              <w:spacing w:before="48"/>
              <w:ind w:left="139"/>
              <w:rPr>
                <w:i/>
                <w:sz w:val="20"/>
              </w:rPr>
            </w:pPr>
            <w:r>
              <w:rPr>
                <w:i/>
                <w:color w:val="000000"/>
                <w:spacing w:val="-4"/>
                <w:sz w:val="20"/>
                <w:highlight w:val="lightGray"/>
              </w:rPr>
              <w:t>pl.: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41" w:val="left" w:leader="none"/>
              </w:tabs>
              <w:spacing w:line="251" w:lineRule="exact" w:before="6" w:after="0"/>
              <w:ind w:left="641" w:right="0" w:hanging="358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tudása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2" w:val="left" w:leader="none"/>
              </w:tabs>
              <w:spacing w:line="240" w:lineRule="auto" w:before="0" w:after="0"/>
              <w:ind w:left="283" w:right="695" w:firstLine="0"/>
              <w:jc w:val="left"/>
              <w:rPr>
                <w:sz w:val="22"/>
              </w:rPr>
            </w:pPr>
            <w:r>
              <w:rPr>
                <w:sz w:val="22"/>
              </w:rPr>
              <w:t>ismeri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és érti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szakmai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területhez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kapcsolódó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pszichológia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tudomány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szociális munkához tartozó fogalomkészletét,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2" w:val="left" w:leader="none"/>
              </w:tabs>
              <w:spacing w:line="251" w:lineRule="exact" w:before="0" w:after="0"/>
              <w:ind w:left="412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ismeri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és érti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humán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fejlődésre,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társadalmi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rendszerre,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tagozódásra,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intézményekre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és</w:t>
            </w:r>
          </w:p>
        </w:tc>
      </w:tr>
    </w:tbl>
    <w:p>
      <w:pPr>
        <w:spacing w:after="0" w:line="251" w:lineRule="exact"/>
        <w:jc w:val="left"/>
        <w:rPr>
          <w:sz w:val="22"/>
        </w:rPr>
        <w:sectPr>
          <w:type w:val="continuous"/>
          <w:pgSz w:w="11910" w:h="16840"/>
          <w:pgMar w:top="1320" w:bottom="280" w:left="1440" w:right="1180"/>
        </w:sectPr>
      </w:pPr>
    </w:p>
    <w:tbl>
      <w:tblPr>
        <w:tblW w:w="0" w:type="auto"/>
        <w:jc w:val="left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2"/>
      </w:tblGrid>
      <w:tr>
        <w:trPr>
          <w:trHeight w:val="3855" w:hRule="atLeast"/>
        </w:trPr>
        <w:tc>
          <w:tcPr>
            <w:tcW w:w="904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before="49"/>
              <w:ind w:left="283"/>
              <w:rPr>
                <w:sz w:val="22"/>
              </w:rPr>
            </w:pPr>
            <w:r>
              <w:rPr>
                <w:sz w:val="22"/>
              </w:rPr>
              <w:t>szervezetekre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vonatkozó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főbb </w:t>
            </w:r>
            <w:r>
              <w:rPr>
                <w:spacing w:val="-2"/>
                <w:sz w:val="22"/>
              </w:rPr>
              <w:t>elméleteket,</w:t>
            </w:r>
          </w:p>
          <w:p>
            <w:pPr>
              <w:pStyle w:val="TableParagraph"/>
              <w:spacing w:before="1"/>
              <w:ind w:left="283" w:right="55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ismeri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és érti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társadalom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működését,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társas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kapcsolatokat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azonosítani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tudja,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hogy mindezek hogyan hatnak az egyes emberekre, családokra, közösségekre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42" w:val="left" w:leader="none"/>
              </w:tabs>
              <w:spacing w:line="252" w:lineRule="exact" w:before="3" w:after="0"/>
              <w:ind w:left="642" w:right="0" w:hanging="359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képességei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2" w:val="left" w:leader="none"/>
              </w:tabs>
              <w:spacing w:line="240" w:lineRule="auto" w:before="0" w:after="0"/>
              <w:ind w:left="283" w:right="829" w:firstLine="0"/>
              <w:jc w:val="left"/>
              <w:rPr>
                <w:sz w:val="22"/>
              </w:rPr>
            </w:pPr>
            <w:r>
              <w:rPr>
                <w:sz w:val="22"/>
              </w:rPr>
              <w:t>képes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megkülönböztetni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vélekedéseket,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sztereotípiákat,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előítéleteket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bizonyítékokkal alátámasztott társadalmi tényektől, leírásoktól, elemzésektől,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2" w:val="left" w:leader="none"/>
              </w:tabs>
              <w:spacing w:line="240" w:lineRule="auto" w:before="0" w:after="0"/>
              <w:ind w:left="283" w:right="206" w:firstLine="0"/>
              <w:jc w:val="left"/>
              <w:rPr>
                <w:sz w:val="22"/>
              </w:rPr>
            </w:pPr>
            <w:r>
              <w:rPr>
                <w:sz w:val="22"/>
              </w:rPr>
              <w:t>képes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szükségletfelmérésre,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egyén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környezete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közötti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folyamatoknak,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kölcsönhatásoknak, problémáknak a holisztikus elemzésére,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2" w:val="left" w:leader="none"/>
              </w:tabs>
              <w:spacing w:line="240" w:lineRule="auto" w:before="0" w:after="0"/>
              <w:ind w:left="283" w:right="502" w:firstLine="0"/>
              <w:jc w:val="left"/>
              <w:rPr>
                <w:sz w:val="22"/>
              </w:rPr>
            </w:pPr>
            <w:r>
              <w:rPr>
                <w:sz w:val="22"/>
              </w:rPr>
              <w:t>felkészült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szakmai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csapatmunkára,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partneri együttműködésekre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érintettekkel,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szakmai szervezetekkel, a társszakmák és a közigazgatás szakembereivel, önkéntesekkel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251" w:lineRule="exact" w:before="3" w:after="0"/>
              <w:ind w:left="507" w:right="0" w:hanging="224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attitűdje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2" w:val="left" w:leader="none"/>
              </w:tabs>
              <w:spacing w:line="240" w:lineRule="auto" w:before="0" w:after="0"/>
              <w:ind w:left="283" w:right="315" w:firstLine="0"/>
              <w:jc w:val="left"/>
              <w:rPr>
                <w:sz w:val="22"/>
              </w:rPr>
            </w:pPr>
            <w:r>
              <w:rPr>
                <w:sz w:val="22"/>
              </w:rPr>
              <w:t>érzékeny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nyitott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szociális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problémákra,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elkötelezett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felelősséget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vállal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szakma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értékei és a társadalmi szolidaritás ügye mellett,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2" w:val="left" w:leader="none"/>
              </w:tabs>
              <w:spacing w:line="254" w:lineRule="exact" w:before="0" w:after="0"/>
              <w:ind w:left="283" w:right="205" w:firstLine="0"/>
              <w:jc w:val="left"/>
              <w:rPr>
                <w:sz w:val="22"/>
              </w:rPr>
            </w:pPr>
            <w:r>
              <w:rPr>
                <w:sz w:val="22"/>
              </w:rPr>
              <w:t>nyitott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mások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megismerésére,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empátiával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viszonyul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emberekhez,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családokhoz,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csoportokhoz és közösségekhez,</w:t>
            </w:r>
          </w:p>
        </w:tc>
      </w:tr>
      <w:tr>
        <w:trPr>
          <w:trHeight w:val="748" w:hRule="atLeast"/>
        </w:trPr>
        <w:tc>
          <w:tcPr>
            <w:tcW w:w="9042" w:type="dxa"/>
            <w:tcBorders>
              <w:top w:val="thickThinMediumGap" w:sz="18" w:space="0" w:color="FFF1CC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b/>
                <w:sz w:val="22"/>
              </w:rPr>
              <w:t>Tantárgy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felelőse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név,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beosztás,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tud.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fokozat</w:t>
            </w:r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Ferenc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főiskolai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docens</w:t>
            </w:r>
          </w:p>
        </w:tc>
      </w:tr>
      <w:tr>
        <w:trPr>
          <w:trHeight w:val="685" w:hRule="atLeast"/>
        </w:trPr>
        <w:tc>
          <w:tcPr>
            <w:tcW w:w="90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b/>
                <w:sz w:val="22"/>
              </w:rPr>
              <w:t>Tantárgy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oktatásába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bevont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oktató(k), </w:t>
            </w: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vannak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név,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beosztás,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tud.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fokozat</w:t>
            </w:r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Bálint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Bánk főiskolai docens</w:t>
            </w:r>
          </w:p>
        </w:tc>
      </w:tr>
    </w:tbl>
    <w:sectPr>
      <w:pgSz w:w="11910" w:h="16840"/>
      <w:pgMar w:top="1380" w:bottom="280" w:left="14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lowerLetter"/>
      <w:lvlText w:val="%1)"/>
      <w:lvlJc w:val="left"/>
      <w:pPr>
        <w:ind w:left="508" w:hanging="22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-"/>
      <w:lvlJc w:val="left"/>
      <w:pPr>
        <w:ind w:left="283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448" w:hanging="13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396" w:hanging="13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44" w:hanging="13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292" w:hanging="13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240" w:hanging="13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188" w:hanging="13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136" w:hanging="13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643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-"/>
      <w:lvlJc w:val="left"/>
      <w:pPr>
        <w:ind w:left="283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572" w:hanging="13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04" w:hanging="13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437" w:hanging="13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369" w:hanging="13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302" w:hanging="13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234" w:hanging="13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167" w:hanging="13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43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5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-"/>
      <w:lvlJc w:val="left"/>
      <w:pPr>
        <w:ind w:left="283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572" w:hanging="13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04" w:hanging="13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437" w:hanging="13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369" w:hanging="13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302" w:hanging="13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234" w:hanging="13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167" w:hanging="130"/>
      </w:pPr>
      <w:rPr>
        <w:rFonts w:hint="default"/>
        <w:lang w:val="hu-H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2024-04-04T06:52:21Z</dcterms:created>
  <dcterms:modified xsi:type="dcterms:W3CDTF">2024-04-04T06:52:21Z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2024-04-04T00:00:00Z</vt:filetime>
  </property>
  <property fmtid="{D5CDD505-2E9C-101B-9397-08002B2CF9AE}" pid="5" name="Producer">
    <vt:lpwstr>itext-paulo-155 (itextpdf.sf.net-lowagie.com)</vt:lpwstr>
  </property>
</Properties>
</file>